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3B991B" w14:textId="77777777" w:rsidR="00A3619B" w:rsidRPr="00677A0F" w:rsidRDefault="00A3619B" w:rsidP="00EE7B00">
      <w:pPr>
        <w:spacing w:line="240" w:lineRule="auto"/>
        <w:rPr>
          <w:sz w:val="28"/>
          <w:szCs w:val="28"/>
          <w:lang w:val="de-CH"/>
        </w:rPr>
      </w:pPr>
      <w:r w:rsidRPr="00677A0F">
        <w:rPr>
          <w:sz w:val="28"/>
          <w:szCs w:val="28"/>
          <w:lang w:val="de-CH"/>
        </w:rPr>
        <w:t>KS Stephen Gould</w:t>
      </w:r>
    </w:p>
    <w:p w14:paraId="796D5EFF" w14:textId="77777777" w:rsidR="00A3619B" w:rsidRPr="00A3619B" w:rsidRDefault="00A3619B" w:rsidP="005E2B6B">
      <w:pPr>
        <w:rPr>
          <w:szCs w:val="22"/>
          <w:lang w:val="de-CH"/>
        </w:rPr>
      </w:pPr>
    </w:p>
    <w:p w14:paraId="73E253B2" w14:textId="77777777" w:rsidR="00A3619B" w:rsidRPr="005A3CF7" w:rsidRDefault="00A3619B" w:rsidP="005E2B6B">
      <w:pPr>
        <w:rPr>
          <w:sz w:val="24"/>
          <w:lang w:val="de-CH"/>
        </w:rPr>
      </w:pPr>
      <w:r w:rsidRPr="005A3CF7">
        <w:rPr>
          <w:sz w:val="24"/>
          <w:lang w:val="de-CH"/>
        </w:rPr>
        <w:t>Tenor</w:t>
      </w:r>
    </w:p>
    <w:p w14:paraId="4CB1C5A1" w14:textId="77777777" w:rsidR="00164A36" w:rsidRPr="00A3619B" w:rsidRDefault="00164A36" w:rsidP="005E2B6B"/>
    <w:p w14:paraId="674114D2" w14:textId="4A128C30" w:rsidR="00A84A50" w:rsidRPr="00A3619B" w:rsidRDefault="00A84A50" w:rsidP="005E2B6B">
      <w:r>
        <w:t xml:space="preserve">Zu seinen Plänen zählen </w:t>
      </w:r>
      <w:r w:rsidR="005E5770" w:rsidRPr="00AA2D7B">
        <w:rPr>
          <w:i/>
          <w:iCs/>
        </w:rPr>
        <w:t>Tristan und Isolde</w:t>
      </w:r>
      <w:r w:rsidR="005E5770">
        <w:t xml:space="preserve">, </w:t>
      </w:r>
      <w:r w:rsidR="005E5770" w:rsidRPr="00AA2D7B">
        <w:rPr>
          <w:i/>
          <w:iCs/>
        </w:rPr>
        <w:t>Tannhäuser</w:t>
      </w:r>
      <w:r w:rsidR="005E5770">
        <w:t xml:space="preserve"> und </w:t>
      </w:r>
      <w:r w:rsidR="005E5770" w:rsidRPr="00AA2D7B">
        <w:rPr>
          <w:i/>
          <w:iCs/>
        </w:rPr>
        <w:t>Götterdämmerung</w:t>
      </w:r>
      <w:r w:rsidR="005E5770">
        <w:t xml:space="preserve"> in Bayreuth</w:t>
      </w:r>
      <w:r w:rsidR="005E5770">
        <w:rPr>
          <w:i/>
        </w:rPr>
        <w:t xml:space="preserve">, </w:t>
      </w:r>
      <w:r w:rsidRPr="00A84A50">
        <w:rPr>
          <w:i/>
        </w:rPr>
        <w:t>Tannhäuser</w:t>
      </w:r>
      <w:r>
        <w:t xml:space="preserve"> in</w:t>
      </w:r>
      <w:r w:rsidR="00AA2D7B">
        <w:t xml:space="preserve"> Berlin</w:t>
      </w:r>
      <w:r>
        <w:t xml:space="preserve">, </w:t>
      </w:r>
      <w:r w:rsidRPr="00A84A50">
        <w:rPr>
          <w:i/>
        </w:rPr>
        <w:t>Tristan und Isolde</w:t>
      </w:r>
      <w:r>
        <w:t xml:space="preserve"> in </w:t>
      </w:r>
      <w:r w:rsidR="006D0082">
        <w:t>Palermo</w:t>
      </w:r>
      <w:r>
        <w:t xml:space="preserve">, </w:t>
      </w:r>
      <w:r w:rsidRPr="00A84A50">
        <w:rPr>
          <w:i/>
        </w:rPr>
        <w:t>Siegfried</w:t>
      </w:r>
      <w:r>
        <w:t xml:space="preserve"> konzertant in Amsterdam</w:t>
      </w:r>
      <w:r w:rsidR="00AA2D7B">
        <w:t>, …</w:t>
      </w:r>
    </w:p>
    <w:p w14:paraId="46C8B24D" w14:textId="77777777" w:rsidR="005F27BB" w:rsidRDefault="005F27BB" w:rsidP="005E2B6B">
      <w:pPr>
        <w:rPr>
          <w:szCs w:val="22"/>
        </w:rPr>
      </w:pPr>
    </w:p>
    <w:p w14:paraId="1C6D1109" w14:textId="4D377506" w:rsidR="00A3619B" w:rsidRPr="00A84A50" w:rsidRDefault="00B622BB" w:rsidP="005E2B6B">
      <w:pPr>
        <w:rPr>
          <w:szCs w:val="22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5849DC32" wp14:editId="2623D343">
            <wp:simplePos x="0" y="0"/>
            <wp:positionH relativeFrom="margin">
              <wp:posOffset>4478655</wp:posOffset>
            </wp:positionH>
            <wp:positionV relativeFrom="margin">
              <wp:posOffset>1556489</wp:posOffset>
            </wp:positionV>
            <wp:extent cx="1457960" cy="2253615"/>
            <wp:effectExtent l="0" t="0" r="254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ULD_Stephen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19B" w:rsidRPr="00A3619B">
        <w:rPr>
          <w:szCs w:val="22"/>
          <w:lang w:val="de-CH"/>
        </w:rPr>
        <w:t xml:space="preserve">Zu den wichtigsten Engagements der jüngsten Vergangenheit zählen </w:t>
      </w:r>
      <w:r w:rsidR="005E5770" w:rsidRPr="00A3619B">
        <w:rPr>
          <w:i/>
          <w:szCs w:val="22"/>
          <w:lang w:val="de-CH"/>
        </w:rPr>
        <w:t>Tristan und Isolde</w:t>
      </w:r>
      <w:r w:rsidR="005E5770" w:rsidRPr="00A3619B">
        <w:rPr>
          <w:szCs w:val="22"/>
          <w:lang w:val="de-CH"/>
        </w:rPr>
        <w:t xml:space="preserve"> in </w:t>
      </w:r>
      <w:r w:rsidR="005E5770">
        <w:rPr>
          <w:szCs w:val="22"/>
          <w:lang w:val="de-CH"/>
        </w:rPr>
        <w:t xml:space="preserve"> Valencia, Bayreuth, </w:t>
      </w:r>
      <w:r w:rsidR="005E5770" w:rsidRPr="00A3619B">
        <w:rPr>
          <w:szCs w:val="22"/>
          <w:lang w:val="de-CH"/>
        </w:rPr>
        <w:t xml:space="preserve">Amsterdam, Hamburg, Karlsruhe, Zürich, London, Tokyo, Dresden, Berlin, Birmingham, Paris und La Coruña, </w:t>
      </w:r>
      <w:r w:rsidR="00AA2D7B" w:rsidRPr="00D566A6">
        <w:rPr>
          <w:i/>
          <w:szCs w:val="22"/>
          <w:lang w:val="de-CH"/>
        </w:rPr>
        <w:t xml:space="preserve">Tannhäuser </w:t>
      </w:r>
      <w:r w:rsidR="00AA2D7B" w:rsidRPr="00D566A6">
        <w:rPr>
          <w:szCs w:val="22"/>
          <w:lang w:val="de-CH"/>
        </w:rPr>
        <w:t>in</w:t>
      </w:r>
      <w:r w:rsidR="00AA2D7B" w:rsidRPr="00A3619B">
        <w:rPr>
          <w:szCs w:val="22"/>
          <w:lang w:val="de-CH"/>
        </w:rPr>
        <w:t xml:space="preserve"> </w:t>
      </w:r>
      <w:r w:rsidR="005E5770">
        <w:rPr>
          <w:szCs w:val="22"/>
          <w:lang w:val="de-CH"/>
        </w:rPr>
        <w:t xml:space="preserve">Tokyo, </w:t>
      </w:r>
      <w:r w:rsidR="00AA2D7B">
        <w:rPr>
          <w:szCs w:val="22"/>
          <w:lang w:val="de-CH"/>
        </w:rPr>
        <w:t xml:space="preserve">Lyon, Bayreuth, Zürich, </w:t>
      </w:r>
      <w:r w:rsidR="00AA2D7B" w:rsidRPr="00A3619B">
        <w:rPr>
          <w:szCs w:val="22"/>
          <w:lang w:val="de-CH"/>
        </w:rPr>
        <w:t>Budapest, Wien, Dresden, Mannheim, Las Palmas, Paris</w:t>
      </w:r>
      <w:r w:rsidR="005E5770">
        <w:rPr>
          <w:szCs w:val="22"/>
          <w:lang w:val="de-CH"/>
        </w:rPr>
        <w:t xml:space="preserve"> </w:t>
      </w:r>
      <w:r w:rsidR="00AA2D7B">
        <w:rPr>
          <w:szCs w:val="22"/>
          <w:lang w:val="de-CH"/>
        </w:rPr>
        <w:t xml:space="preserve">und </w:t>
      </w:r>
      <w:r w:rsidR="00AA2D7B" w:rsidRPr="00A3619B">
        <w:rPr>
          <w:szCs w:val="22"/>
          <w:lang w:val="de-CH"/>
        </w:rPr>
        <w:t>Genf,</w:t>
      </w:r>
      <w:r w:rsidR="00AA2D7B">
        <w:rPr>
          <w:szCs w:val="22"/>
          <w:lang w:val="de-CH"/>
        </w:rPr>
        <w:t xml:space="preserve"> </w:t>
      </w:r>
      <w:r w:rsidR="00AA2D7B" w:rsidRPr="00A3619B">
        <w:rPr>
          <w:i/>
          <w:szCs w:val="22"/>
          <w:lang w:val="de-CH"/>
        </w:rPr>
        <w:t>Siegfried</w:t>
      </w:r>
      <w:r w:rsidR="00AA2D7B" w:rsidRPr="00A3619B">
        <w:rPr>
          <w:szCs w:val="22"/>
          <w:lang w:val="de-CH"/>
        </w:rPr>
        <w:t xml:space="preserve"> und </w:t>
      </w:r>
      <w:r w:rsidR="00AA2D7B" w:rsidRPr="00A3619B">
        <w:rPr>
          <w:i/>
          <w:szCs w:val="22"/>
          <w:lang w:val="de-CH"/>
        </w:rPr>
        <w:t>Götterdämmerung</w:t>
      </w:r>
      <w:r w:rsidR="00AA2D7B" w:rsidRPr="00A3619B">
        <w:rPr>
          <w:szCs w:val="22"/>
          <w:lang w:val="de-CH"/>
        </w:rPr>
        <w:t xml:space="preserve"> in Wien, Tokyo, Amsterdam, Berlin, München, Dresden, Bayreuth und New York, </w:t>
      </w:r>
      <w:r w:rsidR="00A84A50" w:rsidRPr="00A84A50">
        <w:rPr>
          <w:i/>
          <w:szCs w:val="22"/>
          <w:lang w:val="de-CH"/>
        </w:rPr>
        <w:t>Ariadne auf Naxos</w:t>
      </w:r>
      <w:r w:rsidR="00A84A50">
        <w:rPr>
          <w:szCs w:val="22"/>
          <w:lang w:val="de-CH"/>
        </w:rPr>
        <w:t xml:space="preserve"> </w:t>
      </w:r>
      <w:r w:rsidR="00E015B7">
        <w:rPr>
          <w:szCs w:val="22"/>
          <w:lang w:val="de-CH"/>
        </w:rPr>
        <w:t>in Mailand</w:t>
      </w:r>
      <w:r w:rsidR="00A84A50">
        <w:rPr>
          <w:szCs w:val="22"/>
          <w:lang w:val="de-CH"/>
        </w:rPr>
        <w:t>,</w:t>
      </w:r>
      <w:r w:rsidR="00AA2D7B" w:rsidRPr="00AA2D7B">
        <w:rPr>
          <w:szCs w:val="22"/>
          <w:lang w:val="de-CH"/>
        </w:rPr>
        <w:t xml:space="preserve"> </w:t>
      </w:r>
      <w:r w:rsidR="00AA2D7B" w:rsidRPr="00A3619B">
        <w:rPr>
          <w:szCs w:val="22"/>
          <w:lang w:val="de-CH"/>
        </w:rPr>
        <w:t>Wien, Dresden und Graz</w:t>
      </w:r>
      <w:r w:rsidR="00A84A50">
        <w:rPr>
          <w:szCs w:val="22"/>
          <w:lang w:val="de-CH"/>
        </w:rPr>
        <w:t xml:space="preserve"> </w:t>
      </w:r>
      <w:r w:rsidR="00164A36" w:rsidRPr="00A3619B">
        <w:rPr>
          <w:i/>
          <w:szCs w:val="22"/>
          <w:lang w:val="de-CH"/>
        </w:rPr>
        <w:t>Otello</w:t>
      </w:r>
      <w:r w:rsidR="00164A36" w:rsidRPr="00A3619B">
        <w:rPr>
          <w:szCs w:val="22"/>
          <w:lang w:val="de-CH"/>
        </w:rPr>
        <w:t xml:space="preserve"> in </w:t>
      </w:r>
      <w:r w:rsidR="00164A36">
        <w:rPr>
          <w:szCs w:val="22"/>
          <w:lang w:val="de-CH"/>
        </w:rPr>
        <w:t xml:space="preserve">Wien, </w:t>
      </w:r>
      <w:r w:rsidR="00164A36" w:rsidRPr="00A3619B">
        <w:rPr>
          <w:szCs w:val="22"/>
          <w:lang w:val="de-CH"/>
        </w:rPr>
        <w:t>Dresden, Tokyo, Karlsruhe und Florenz,</w:t>
      </w:r>
      <w:r w:rsidR="00164A36">
        <w:rPr>
          <w:szCs w:val="22"/>
          <w:lang w:val="de-CH"/>
        </w:rPr>
        <w:t xml:space="preserve"> </w:t>
      </w:r>
      <w:r w:rsidR="0029266E">
        <w:t xml:space="preserve">der 2. Akt </w:t>
      </w:r>
      <w:r w:rsidR="0029266E" w:rsidRPr="0029266E">
        <w:rPr>
          <w:i/>
        </w:rPr>
        <w:t>Tristan und Isolde</w:t>
      </w:r>
      <w:r w:rsidR="0029266E">
        <w:t xml:space="preserve"> konzertant in Washington und New York, </w:t>
      </w:r>
      <w:r w:rsidR="0029266E">
        <w:rPr>
          <w:szCs w:val="22"/>
          <w:lang w:val="de-CH"/>
        </w:rPr>
        <w:t xml:space="preserve">ein </w:t>
      </w:r>
      <w:r w:rsidR="0029266E">
        <w:t xml:space="preserve">Wagner-Konzert bei den BBC </w:t>
      </w:r>
      <w:proofErr w:type="spellStart"/>
      <w:r w:rsidR="0029266E">
        <w:t>Proms</w:t>
      </w:r>
      <w:proofErr w:type="spellEnd"/>
      <w:r w:rsidR="0029266E">
        <w:t xml:space="preserve"> in London und einem Auftritt beim </w:t>
      </w:r>
      <w:proofErr w:type="spellStart"/>
      <w:r w:rsidR="0029266E">
        <w:t>Semperopernball</w:t>
      </w:r>
      <w:proofErr w:type="spellEnd"/>
      <w:r w:rsidR="0029266E">
        <w:t xml:space="preserve"> in St. Petersburg, </w:t>
      </w:r>
      <w:r w:rsidR="00473352" w:rsidRPr="00473352">
        <w:rPr>
          <w:i/>
          <w:szCs w:val="22"/>
          <w:lang w:val="de-CH"/>
        </w:rPr>
        <w:t>Die Frau ohne Schatten</w:t>
      </w:r>
      <w:r w:rsidR="00473352" w:rsidRPr="00473352">
        <w:rPr>
          <w:szCs w:val="22"/>
          <w:lang w:val="de-CH"/>
        </w:rPr>
        <w:t xml:space="preserve"> in </w:t>
      </w:r>
      <w:r w:rsidR="005F27BB">
        <w:rPr>
          <w:szCs w:val="22"/>
          <w:lang w:val="de-CH"/>
        </w:rPr>
        <w:t xml:space="preserve">Paris, Dortmund, </w:t>
      </w:r>
      <w:r w:rsidR="00E015B7">
        <w:rPr>
          <w:szCs w:val="22"/>
          <w:lang w:val="de-CH"/>
        </w:rPr>
        <w:t>Rotterdam</w:t>
      </w:r>
      <w:r w:rsidR="005F27BB">
        <w:rPr>
          <w:szCs w:val="22"/>
          <w:lang w:val="de-CH"/>
        </w:rPr>
        <w:t xml:space="preserve">, </w:t>
      </w:r>
      <w:r w:rsidR="00E015B7" w:rsidRPr="00A3619B">
        <w:rPr>
          <w:szCs w:val="22"/>
          <w:lang w:val="de-CH"/>
        </w:rPr>
        <w:t>Buenos Aires, Salzburg</w:t>
      </w:r>
      <w:r w:rsidR="00E015B7">
        <w:rPr>
          <w:szCs w:val="22"/>
          <w:lang w:val="de-CH"/>
        </w:rPr>
        <w:t xml:space="preserve">, </w:t>
      </w:r>
      <w:r w:rsidR="00E015B7" w:rsidRPr="00A3619B">
        <w:rPr>
          <w:szCs w:val="22"/>
          <w:lang w:val="de-CH"/>
        </w:rPr>
        <w:t>Dresden</w:t>
      </w:r>
      <w:r w:rsidR="00E015B7" w:rsidRPr="00473352">
        <w:rPr>
          <w:szCs w:val="22"/>
          <w:lang w:val="de-CH"/>
        </w:rPr>
        <w:t xml:space="preserve"> </w:t>
      </w:r>
      <w:r w:rsidR="00E015B7">
        <w:rPr>
          <w:szCs w:val="22"/>
          <w:lang w:val="de-CH"/>
        </w:rPr>
        <w:t xml:space="preserve">und </w:t>
      </w:r>
      <w:r w:rsidR="00473352" w:rsidRPr="00473352">
        <w:rPr>
          <w:szCs w:val="22"/>
          <w:lang w:val="de-CH"/>
        </w:rPr>
        <w:t>Wien</w:t>
      </w:r>
      <w:r w:rsidR="00473352">
        <w:rPr>
          <w:szCs w:val="22"/>
          <w:lang w:val="de-CH"/>
        </w:rPr>
        <w:t>,</w:t>
      </w:r>
      <w:r w:rsidR="00E015B7">
        <w:rPr>
          <w:szCs w:val="22"/>
          <w:lang w:val="de-CH"/>
        </w:rPr>
        <w:t xml:space="preserve"> </w:t>
      </w:r>
      <w:r w:rsidR="00F734EC" w:rsidRPr="00473352">
        <w:rPr>
          <w:i/>
          <w:szCs w:val="22"/>
          <w:lang w:val="de-CH"/>
        </w:rPr>
        <w:t>Die Walküre</w:t>
      </w:r>
      <w:r w:rsidR="00F734EC" w:rsidRPr="00473352">
        <w:rPr>
          <w:szCs w:val="22"/>
          <w:lang w:val="de-CH"/>
        </w:rPr>
        <w:t xml:space="preserve"> </w:t>
      </w:r>
      <w:r w:rsidR="0029266E">
        <w:rPr>
          <w:szCs w:val="22"/>
          <w:lang w:val="de-CH"/>
        </w:rPr>
        <w:t xml:space="preserve">- </w:t>
      </w:r>
      <w:r w:rsidR="00F734EC" w:rsidRPr="00473352">
        <w:rPr>
          <w:szCs w:val="22"/>
          <w:lang w:val="de-CH"/>
        </w:rPr>
        <w:t>mit den Bayreuther Festspielen</w:t>
      </w:r>
      <w:r w:rsidR="0029266E">
        <w:rPr>
          <w:szCs w:val="22"/>
          <w:lang w:val="de-CH"/>
        </w:rPr>
        <w:t xml:space="preserve"> -</w:t>
      </w:r>
      <w:r w:rsidR="00F734EC" w:rsidRPr="00473352">
        <w:rPr>
          <w:szCs w:val="22"/>
          <w:lang w:val="de-CH"/>
        </w:rPr>
        <w:t xml:space="preserve"> in Abu Dhabi</w:t>
      </w:r>
      <w:r w:rsidR="004E220F">
        <w:rPr>
          <w:szCs w:val="22"/>
          <w:lang w:val="de-CH"/>
        </w:rPr>
        <w:t>,</w:t>
      </w:r>
      <w:r w:rsidR="00D566A6" w:rsidRPr="00D566A6">
        <w:rPr>
          <w:i/>
          <w:szCs w:val="22"/>
          <w:lang w:val="de-CH"/>
        </w:rPr>
        <w:t xml:space="preserve"> </w:t>
      </w:r>
      <w:r w:rsidR="00042189" w:rsidRPr="00D566A6">
        <w:rPr>
          <w:szCs w:val="22"/>
          <w:lang w:val="de-CH"/>
        </w:rPr>
        <w:t xml:space="preserve">in Bayreuth und Tokyo, </w:t>
      </w:r>
      <w:r w:rsidR="00A3619B" w:rsidRPr="00A3619B">
        <w:rPr>
          <w:i/>
          <w:szCs w:val="22"/>
          <w:lang w:val="de-CH"/>
        </w:rPr>
        <w:t>Fidelio</w:t>
      </w:r>
      <w:r w:rsidR="00A3619B" w:rsidRPr="00A3619B">
        <w:rPr>
          <w:szCs w:val="22"/>
          <w:lang w:val="de-CH"/>
        </w:rPr>
        <w:t xml:space="preserve"> in Tokyo, Hamburg, München, Dresden</w:t>
      </w:r>
      <w:r w:rsidR="004E220F">
        <w:rPr>
          <w:szCs w:val="22"/>
          <w:lang w:val="de-CH"/>
        </w:rPr>
        <w:t xml:space="preserve"> </w:t>
      </w:r>
      <w:r w:rsidR="00A3619B" w:rsidRPr="00A3619B">
        <w:rPr>
          <w:szCs w:val="22"/>
          <w:lang w:val="de-CH"/>
        </w:rPr>
        <w:t xml:space="preserve">und Florenz, </w:t>
      </w:r>
      <w:r w:rsidR="00A3619B" w:rsidRPr="00A3619B">
        <w:rPr>
          <w:i/>
          <w:szCs w:val="22"/>
          <w:lang w:val="de-CH"/>
        </w:rPr>
        <w:t xml:space="preserve">Parsifal </w:t>
      </w:r>
      <w:r w:rsidR="00A3619B" w:rsidRPr="00A3619B">
        <w:rPr>
          <w:szCs w:val="22"/>
          <w:lang w:val="de-CH"/>
        </w:rPr>
        <w:t xml:space="preserve">in Baden-Baden, Wien, Berlin, Dresden und Graz, Loge in </w:t>
      </w:r>
      <w:r w:rsidR="00A3619B" w:rsidRPr="00A3619B">
        <w:rPr>
          <w:i/>
          <w:szCs w:val="22"/>
          <w:lang w:val="de-CH"/>
        </w:rPr>
        <w:t>Das Rheingold</w:t>
      </w:r>
      <w:r w:rsidR="00A3619B" w:rsidRPr="00A3619B">
        <w:rPr>
          <w:szCs w:val="22"/>
          <w:lang w:val="de-CH"/>
        </w:rPr>
        <w:t xml:space="preserve"> </w:t>
      </w:r>
      <w:r w:rsidR="00AA2D7B">
        <w:rPr>
          <w:szCs w:val="22"/>
          <w:lang w:val="de-CH"/>
        </w:rPr>
        <w:t>in Tokyo,</w:t>
      </w:r>
      <w:r w:rsidR="00A3619B" w:rsidRPr="00A3619B">
        <w:rPr>
          <w:szCs w:val="22"/>
          <w:lang w:val="de-CH"/>
        </w:rPr>
        <w:t xml:space="preserve"> </w:t>
      </w:r>
      <w:proofErr w:type="spellStart"/>
      <w:r w:rsidR="00A3619B" w:rsidRPr="00A3619B">
        <w:rPr>
          <w:szCs w:val="22"/>
          <w:lang w:val="de-CH"/>
        </w:rPr>
        <w:t>Aegisth</w:t>
      </w:r>
      <w:proofErr w:type="spellEnd"/>
      <w:r w:rsidR="00A3619B" w:rsidRPr="00A3619B">
        <w:rPr>
          <w:szCs w:val="22"/>
          <w:lang w:val="de-CH"/>
        </w:rPr>
        <w:t xml:space="preserve"> in einer konzertanten Aufführung </w:t>
      </w:r>
      <w:r w:rsidR="00A3619B" w:rsidRPr="00A3619B">
        <w:rPr>
          <w:i/>
          <w:szCs w:val="22"/>
          <w:lang w:val="de-CH"/>
        </w:rPr>
        <w:t>Elektra</w:t>
      </w:r>
      <w:r w:rsidR="00A3619B" w:rsidRPr="00A3619B">
        <w:rPr>
          <w:szCs w:val="22"/>
          <w:lang w:val="de-CH"/>
        </w:rPr>
        <w:t xml:space="preserve"> in Berlin, </w:t>
      </w:r>
      <w:r w:rsidR="00A3619B" w:rsidRPr="00A3619B">
        <w:rPr>
          <w:i/>
          <w:szCs w:val="22"/>
          <w:lang w:val="de-CH"/>
        </w:rPr>
        <w:t>I Pagliacci</w:t>
      </w:r>
      <w:r w:rsidR="00A3619B" w:rsidRPr="00A3619B">
        <w:rPr>
          <w:szCs w:val="22"/>
          <w:lang w:val="de-CH"/>
        </w:rPr>
        <w:t xml:space="preserve"> in Berlin, </w:t>
      </w:r>
      <w:r w:rsidR="00A3619B" w:rsidRPr="00A3619B">
        <w:rPr>
          <w:i/>
          <w:szCs w:val="22"/>
          <w:lang w:val="de-CH"/>
        </w:rPr>
        <w:t>Lohengrin</w:t>
      </w:r>
      <w:r w:rsidR="00A3619B" w:rsidRPr="00A3619B">
        <w:rPr>
          <w:szCs w:val="22"/>
          <w:lang w:val="de-CH"/>
        </w:rPr>
        <w:t xml:space="preserve"> in Hamburg, Dresden und Triest, </w:t>
      </w:r>
      <w:r w:rsidR="00A3619B" w:rsidRPr="00A3619B">
        <w:rPr>
          <w:i/>
          <w:szCs w:val="22"/>
          <w:lang w:val="de-CH"/>
        </w:rPr>
        <w:t>Der fliegende Holländer</w:t>
      </w:r>
      <w:r w:rsidR="00A3619B" w:rsidRPr="00A3619B">
        <w:rPr>
          <w:szCs w:val="22"/>
          <w:lang w:val="de-CH"/>
        </w:rPr>
        <w:t xml:space="preserve"> in Turin, Wien, Madrid, New York, München und Palermo, </w:t>
      </w:r>
      <w:proofErr w:type="spellStart"/>
      <w:r w:rsidR="00A3619B" w:rsidRPr="00A3619B">
        <w:rPr>
          <w:i/>
          <w:szCs w:val="22"/>
          <w:lang w:val="de-CH"/>
        </w:rPr>
        <w:t>Les</w:t>
      </w:r>
      <w:proofErr w:type="spellEnd"/>
      <w:r w:rsidR="00A3619B" w:rsidRPr="00A3619B">
        <w:rPr>
          <w:i/>
          <w:szCs w:val="22"/>
          <w:lang w:val="de-CH"/>
        </w:rPr>
        <w:t xml:space="preserve"> </w:t>
      </w:r>
      <w:proofErr w:type="spellStart"/>
      <w:r w:rsidR="00A3619B" w:rsidRPr="00A3619B">
        <w:rPr>
          <w:i/>
          <w:szCs w:val="22"/>
          <w:lang w:val="de-CH"/>
        </w:rPr>
        <w:t>Troyens</w:t>
      </w:r>
      <w:proofErr w:type="spellEnd"/>
      <w:r w:rsidR="00A3619B" w:rsidRPr="00A3619B">
        <w:rPr>
          <w:szCs w:val="22"/>
          <w:lang w:val="de-CH"/>
        </w:rPr>
        <w:t xml:space="preserve"> in Valencia und Florenz, </w:t>
      </w:r>
      <w:r w:rsidR="00A3619B" w:rsidRPr="00A3619B">
        <w:rPr>
          <w:i/>
          <w:szCs w:val="22"/>
          <w:lang w:val="de-CH"/>
        </w:rPr>
        <w:t>Peter Grimes</w:t>
      </w:r>
      <w:r w:rsidR="00A3619B" w:rsidRPr="00A3619B">
        <w:rPr>
          <w:szCs w:val="22"/>
          <w:lang w:val="de-CH"/>
        </w:rPr>
        <w:t xml:space="preserve"> in Wien, Dresden und Genf, </w:t>
      </w:r>
      <w:r w:rsidR="00A3619B" w:rsidRPr="00A3619B">
        <w:rPr>
          <w:i/>
          <w:szCs w:val="22"/>
          <w:lang w:val="de-CH"/>
        </w:rPr>
        <w:t>Die Liebe der Danae</w:t>
      </w:r>
      <w:r w:rsidR="00A3619B" w:rsidRPr="00A3619B">
        <w:rPr>
          <w:szCs w:val="22"/>
          <w:lang w:val="de-CH"/>
        </w:rPr>
        <w:t xml:space="preserve"> in Dresden sowie </w:t>
      </w:r>
      <w:r w:rsidR="00A3619B" w:rsidRPr="00A3619B">
        <w:rPr>
          <w:i/>
          <w:szCs w:val="22"/>
          <w:lang w:val="de-CH"/>
        </w:rPr>
        <w:t>Die tote Stadt</w:t>
      </w:r>
      <w:r w:rsidR="00A3619B" w:rsidRPr="00A3619B">
        <w:rPr>
          <w:szCs w:val="22"/>
          <w:lang w:val="de-CH"/>
        </w:rPr>
        <w:t xml:space="preserve"> in Berlin, Wien und London.</w:t>
      </w:r>
    </w:p>
    <w:p w14:paraId="1F3350AD" w14:textId="77777777" w:rsidR="00A3619B" w:rsidRPr="00A3619B" w:rsidRDefault="00A3619B" w:rsidP="005E2B6B">
      <w:pPr>
        <w:rPr>
          <w:szCs w:val="22"/>
          <w:lang w:val="de-CH"/>
        </w:rPr>
      </w:pPr>
    </w:p>
    <w:p w14:paraId="0EAABE7D" w14:textId="054072BA" w:rsidR="00A3619B" w:rsidRPr="00A3619B" w:rsidRDefault="00A3619B" w:rsidP="005E2B6B">
      <w:pPr>
        <w:rPr>
          <w:szCs w:val="22"/>
          <w:lang w:val="de-CH"/>
        </w:rPr>
      </w:pPr>
      <w:r w:rsidRPr="00A3619B">
        <w:rPr>
          <w:szCs w:val="22"/>
          <w:lang w:val="de-CH"/>
        </w:rPr>
        <w:t xml:space="preserve">Stephen Gould arbeitet mit Dirigenten wie Daniel Barenboim, Riccardo Chailly, </w:t>
      </w:r>
      <w:r w:rsidR="00A07D44">
        <w:rPr>
          <w:szCs w:val="22"/>
        </w:rPr>
        <w:t xml:space="preserve">Teodor Currentzis, </w:t>
      </w:r>
      <w:r w:rsidRPr="00A3619B">
        <w:rPr>
          <w:szCs w:val="22"/>
          <w:lang w:val="de-CH"/>
        </w:rPr>
        <w:t xml:space="preserve">Adam Fischer, Daniele Gatti, Hartmut </w:t>
      </w:r>
      <w:proofErr w:type="spellStart"/>
      <w:r w:rsidRPr="00A3619B">
        <w:rPr>
          <w:szCs w:val="22"/>
          <w:lang w:val="de-CH"/>
        </w:rPr>
        <w:t>Haenchen</w:t>
      </w:r>
      <w:proofErr w:type="spellEnd"/>
      <w:r w:rsidRPr="00A3619B">
        <w:rPr>
          <w:szCs w:val="22"/>
          <w:lang w:val="de-CH"/>
        </w:rPr>
        <w:t xml:space="preserve">, Marek Janowski, Philippe Jordan, Fabio Luisi, Zubin Mehta, Ingo Metzmacher, Kent Nagano, Andris Nelsons, </w:t>
      </w:r>
      <w:r w:rsidR="005F27BB">
        <w:rPr>
          <w:szCs w:val="22"/>
        </w:rPr>
        <w:t xml:space="preserve">Yannick </w:t>
      </w:r>
      <w:proofErr w:type="spellStart"/>
      <w:r w:rsidR="005F27BB">
        <w:rPr>
          <w:szCs w:val="22"/>
        </w:rPr>
        <w:t>Nézet</w:t>
      </w:r>
      <w:proofErr w:type="spellEnd"/>
      <w:r w:rsidR="005F27BB">
        <w:rPr>
          <w:szCs w:val="22"/>
        </w:rPr>
        <w:t>-Séguin</w:t>
      </w:r>
      <w:r w:rsidR="005F27BB">
        <w:rPr>
          <w:szCs w:val="22"/>
          <w:lang w:val="de-CH"/>
        </w:rPr>
        <w:t xml:space="preserve">, </w:t>
      </w:r>
      <w:r w:rsidRPr="00A3619B">
        <w:rPr>
          <w:szCs w:val="22"/>
          <w:lang w:val="de-CH"/>
        </w:rPr>
        <w:t>Seiji Ozawa, Simon Rattle, Donald Runnicles, Esa-Pekka Salonen, Christian Thielemann, Franz Welser-Möst und David Zinman.</w:t>
      </w:r>
    </w:p>
    <w:p w14:paraId="475A7962" w14:textId="77777777" w:rsidR="00A3619B" w:rsidRPr="00A3619B" w:rsidRDefault="00A3619B" w:rsidP="005E2B6B">
      <w:pPr>
        <w:rPr>
          <w:szCs w:val="22"/>
          <w:lang w:val="de-CH"/>
        </w:rPr>
      </w:pPr>
    </w:p>
    <w:p w14:paraId="74EF7260" w14:textId="7E943829" w:rsidR="00A3619B" w:rsidRDefault="00A3619B" w:rsidP="005E2B6B">
      <w:pPr>
        <w:rPr>
          <w:szCs w:val="22"/>
          <w:lang w:val="de-CH"/>
        </w:rPr>
      </w:pPr>
      <w:r w:rsidRPr="00A3619B">
        <w:rPr>
          <w:szCs w:val="22"/>
          <w:lang w:val="de-CH"/>
        </w:rPr>
        <w:t xml:space="preserve">Er sang Beethovens 9. Symphonie in Berlin und München, Beethovens </w:t>
      </w:r>
      <w:r w:rsidRPr="00A3619B">
        <w:rPr>
          <w:i/>
          <w:szCs w:val="22"/>
          <w:lang w:val="de-CH"/>
        </w:rPr>
        <w:t>Missa Solemnis</w:t>
      </w:r>
      <w:r w:rsidRPr="00A3619B">
        <w:rPr>
          <w:szCs w:val="22"/>
          <w:lang w:val="de-CH"/>
        </w:rPr>
        <w:t xml:space="preserve"> in Chicago, Schönbergs </w:t>
      </w:r>
      <w:r w:rsidRPr="00A3619B">
        <w:rPr>
          <w:i/>
          <w:szCs w:val="22"/>
          <w:lang w:val="de-CH"/>
        </w:rPr>
        <w:t>Gurre-Lieder</w:t>
      </w:r>
      <w:r w:rsidRPr="00A3619B">
        <w:rPr>
          <w:szCs w:val="22"/>
          <w:lang w:val="de-CH"/>
        </w:rPr>
        <w:t xml:space="preserve"> in </w:t>
      </w:r>
      <w:r w:rsidR="005F27BB">
        <w:rPr>
          <w:szCs w:val="22"/>
          <w:lang w:val="de-CH"/>
        </w:rPr>
        <w:t xml:space="preserve">Dresden, </w:t>
      </w:r>
      <w:r w:rsidRPr="00A3619B">
        <w:rPr>
          <w:szCs w:val="22"/>
          <w:lang w:val="de-CH"/>
        </w:rPr>
        <w:t>München, Montreal, Berlin, Brüssel, Amsterdam, Helsinki, Montreux, beim Lu</w:t>
      </w:r>
      <w:r w:rsidR="00AA2D7B">
        <w:rPr>
          <w:szCs w:val="22"/>
          <w:lang w:val="de-CH"/>
        </w:rPr>
        <w:t>c</w:t>
      </w:r>
      <w:r w:rsidRPr="00A3619B">
        <w:rPr>
          <w:szCs w:val="22"/>
          <w:lang w:val="de-CH"/>
        </w:rPr>
        <w:t>ern</w:t>
      </w:r>
      <w:r w:rsidR="00AA2D7B">
        <w:rPr>
          <w:szCs w:val="22"/>
          <w:lang w:val="de-CH"/>
        </w:rPr>
        <w:t>e</w:t>
      </w:r>
      <w:r w:rsidRPr="00A3619B">
        <w:rPr>
          <w:szCs w:val="22"/>
          <w:lang w:val="de-CH"/>
        </w:rPr>
        <w:t xml:space="preserve"> Festival, in Berlin</w:t>
      </w:r>
      <w:r w:rsidR="004E220F">
        <w:rPr>
          <w:szCs w:val="22"/>
          <w:lang w:val="de-CH"/>
        </w:rPr>
        <w:t xml:space="preserve">, </w:t>
      </w:r>
      <w:r w:rsidRPr="00A3619B">
        <w:rPr>
          <w:szCs w:val="22"/>
          <w:lang w:val="de-CH"/>
        </w:rPr>
        <w:t>Hannover</w:t>
      </w:r>
      <w:r w:rsidR="004E220F">
        <w:rPr>
          <w:szCs w:val="22"/>
          <w:lang w:val="de-CH"/>
        </w:rPr>
        <w:t xml:space="preserve"> und München</w:t>
      </w:r>
      <w:r w:rsidRPr="00A3619B">
        <w:rPr>
          <w:szCs w:val="22"/>
          <w:lang w:val="de-CH"/>
        </w:rPr>
        <w:t>, Mahlers 8. Symphonie in Bergen, New York</w:t>
      </w:r>
      <w:r w:rsidR="005F46C2">
        <w:rPr>
          <w:szCs w:val="22"/>
          <w:lang w:val="de-CH"/>
        </w:rPr>
        <w:t xml:space="preserve"> unter Pierre Boulez</w:t>
      </w:r>
      <w:r w:rsidRPr="00A3619B">
        <w:rPr>
          <w:szCs w:val="22"/>
          <w:lang w:val="de-CH"/>
        </w:rPr>
        <w:t xml:space="preserve">, Leipzig, Paris, Wien und Budapest, Mahlers </w:t>
      </w:r>
      <w:r w:rsidRPr="00A3619B">
        <w:rPr>
          <w:i/>
          <w:szCs w:val="22"/>
          <w:lang w:val="de-CH"/>
        </w:rPr>
        <w:t>Das Lied von der Erde</w:t>
      </w:r>
      <w:r w:rsidRPr="00A3619B">
        <w:rPr>
          <w:szCs w:val="22"/>
          <w:lang w:val="de-CH"/>
        </w:rPr>
        <w:t xml:space="preserve"> in </w:t>
      </w:r>
      <w:r w:rsidR="00A07D44">
        <w:rPr>
          <w:szCs w:val="22"/>
          <w:lang w:val="de-CH"/>
        </w:rPr>
        <w:t xml:space="preserve">Stuttgart, </w:t>
      </w:r>
      <w:r w:rsidRPr="00A3619B">
        <w:rPr>
          <w:szCs w:val="22"/>
          <w:lang w:val="de-CH"/>
        </w:rPr>
        <w:t>Chicago, Berlin, Graz, Luzern, Paris</w:t>
      </w:r>
      <w:r w:rsidR="00A07D44">
        <w:rPr>
          <w:szCs w:val="22"/>
          <w:lang w:val="de-CH"/>
        </w:rPr>
        <w:t xml:space="preserve"> und </w:t>
      </w:r>
      <w:r w:rsidRPr="00A3619B">
        <w:rPr>
          <w:szCs w:val="22"/>
          <w:lang w:val="de-CH"/>
        </w:rPr>
        <w:t xml:space="preserve">Prag sowie Strawinskys </w:t>
      </w:r>
      <w:proofErr w:type="spellStart"/>
      <w:r w:rsidRPr="00A3619B">
        <w:rPr>
          <w:i/>
          <w:szCs w:val="22"/>
          <w:lang w:val="de-CH"/>
        </w:rPr>
        <w:t>Oedipus</w:t>
      </w:r>
      <w:proofErr w:type="spellEnd"/>
      <w:r w:rsidRPr="00A3619B">
        <w:rPr>
          <w:i/>
          <w:szCs w:val="22"/>
          <w:lang w:val="de-CH"/>
        </w:rPr>
        <w:t xml:space="preserve"> Rex</w:t>
      </w:r>
      <w:r w:rsidRPr="00A3619B">
        <w:rPr>
          <w:szCs w:val="22"/>
          <w:lang w:val="de-CH"/>
        </w:rPr>
        <w:t xml:space="preserve"> in London.</w:t>
      </w:r>
    </w:p>
    <w:p w14:paraId="2103BB8C" w14:textId="77777777" w:rsidR="00D566A6" w:rsidRPr="00A3619B" w:rsidRDefault="00D566A6" w:rsidP="005E2B6B">
      <w:pPr>
        <w:rPr>
          <w:szCs w:val="22"/>
          <w:lang w:val="de-CH"/>
        </w:rPr>
      </w:pPr>
    </w:p>
    <w:p w14:paraId="273EA847" w14:textId="77777777" w:rsidR="00D566A6" w:rsidRDefault="00A3619B" w:rsidP="005E2B6B">
      <w:pPr>
        <w:rPr>
          <w:szCs w:val="22"/>
          <w:lang w:val="de-CH"/>
        </w:rPr>
      </w:pPr>
      <w:r w:rsidRPr="00A3619B">
        <w:rPr>
          <w:szCs w:val="22"/>
          <w:lang w:val="de-CH"/>
        </w:rPr>
        <w:t xml:space="preserve">Zu seinen Aufnahmen zählen u.a. Beethovens 9. Symphonie unter Donald Runnicles, </w:t>
      </w:r>
      <w:r w:rsidRPr="00A3619B">
        <w:rPr>
          <w:i/>
          <w:szCs w:val="22"/>
          <w:lang w:val="de-CH"/>
        </w:rPr>
        <w:t>Siegfried</w:t>
      </w:r>
      <w:r w:rsidRPr="00A3619B">
        <w:rPr>
          <w:szCs w:val="22"/>
          <w:lang w:val="de-CH"/>
        </w:rPr>
        <w:t>,</w:t>
      </w:r>
    </w:p>
    <w:p w14:paraId="29CA6B09" w14:textId="77777777" w:rsidR="00A3619B" w:rsidRPr="00A3619B" w:rsidRDefault="00D566A6" w:rsidP="005E2B6B">
      <w:pPr>
        <w:rPr>
          <w:szCs w:val="22"/>
          <w:lang w:val="de-CH"/>
        </w:rPr>
      </w:pPr>
      <w:r>
        <w:rPr>
          <w:i/>
          <w:szCs w:val="22"/>
          <w:lang w:val="de-CH"/>
        </w:rPr>
        <w:t>G</w:t>
      </w:r>
      <w:r w:rsidR="00A3619B" w:rsidRPr="00A3619B">
        <w:rPr>
          <w:i/>
          <w:szCs w:val="22"/>
          <w:lang w:val="de-CH"/>
        </w:rPr>
        <w:t>ötterdämmerung</w:t>
      </w:r>
      <w:r w:rsidR="00A3619B" w:rsidRPr="00A3619B">
        <w:rPr>
          <w:szCs w:val="22"/>
          <w:lang w:val="de-CH"/>
        </w:rPr>
        <w:t xml:space="preserve"> und </w:t>
      </w:r>
      <w:r w:rsidR="00A3619B" w:rsidRPr="00A3619B">
        <w:rPr>
          <w:i/>
          <w:szCs w:val="22"/>
          <w:lang w:val="de-CH"/>
        </w:rPr>
        <w:t>Tristan und Isolde</w:t>
      </w:r>
      <w:r w:rsidR="00A3619B" w:rsidRPr="00A3619B">
        <w:rPr>
          <w:szCs w:val="22"/>
          <w:lang w:val="de-CH"/>
        </w:rPr>
        <w:t xml:space="preserve"> unter Christian Thielemann sowie </w:t>
      </w:r>
      <w:r w:rsidR="00A3619B" w:rsidRPr="00A3619B">
        <w:rPr>
          <w:i/>
          <w:szCs w:val="22"/>
          <w:lang w:val="de-CH"/>
        </w:rPr>
        <w:t>Siegfried</w:t>
      </w:r>
      <w:r w:rsidR="00A3619B" w:rsidRPr="00A3619B">
        <w:rPr>
          <w:szCs w:val="22"/>
          <w:lang w:val="de-CH"/>
        </w:rPr>
        <w:t xml:space="preserve"> und </w:t>
      </w:r>
      <w:r w:rsidR="00A3619B" w:rsidRPr="00A3619B">
        <w:rPr>
          <w:i/>
          <w:szCs w:val="22"/>
          <w:lang w:val="de-CH"/>
        </w:rPr>
        <w:t>Tristan und Isolde</w:t>
      </w:r>
      <w:r w:rsidR="00A3619B" w:rsidRPr="00A3619B">
        <w:rPr>
          <w:szCs w:val="22"/>
          <w:lang w:val="de-CH"/>
        </w:rPr>
        <w:t xml:space="preserve"> unter Marek Janowski.</w:t>
      </w:r>
    </w:p>
    <w:p w14:paraId="5578F76F" w14:textId="77777777" w:rsidR="00A3619B" w:rsidRPr="00A3619B" w:rsidRDefault="00A3619B" w:rsidP="005E2B6B">
      <w:pPr>
        <w:rPr>
          <w:szCs w:val="22"/>
          <w:lang w:val="de-CH"/>
        </w:rPr>
      </w:pPr>
    </w:p>
    <w:p w14:paraId="0801BE84" w14:textId="77777777" w:rsidR="005E5770" w:rsidRDefault="00A3619B" w:rsidP="005E2B6B">
      <w:pPr>
        <w:rPr>
          <w:szCs w:val="22"/>
          <w:lang w:val="de-CH"/>
        </w:rPr>
      </w:pPr>
      <w:r w:rsidRPr="00A3619B">
        <w:rPr>
          <w:szCs w:val="22"/>
          <w:lang w:val="de-CH"/>
        </w:rPr>
        <w:t xml:space="preserve">Im Mai 2015 wurde Stephen Gould der Titel </w:t>
      </w:r>
      <w:proofErr w:type="gramStart"/>
      <w:r w:rsidRPr="00A3619B">
        <w:rPr>
          <w:i/>
          <w:szCs w:val="22"/>
          <w:lang w:val="de-CH"/>
        </w:rPr>
        <w:t>Österreichischer</w:t>
      </w:r>
      <w:proofErr w:type="gramEnd"/>
      <w:r w:rsidRPr="00A3619B">
        <w:rPr>
          <w:i/>
          <w:szCs w:val="22"/>
          <w:lang w:val="de-CH"/>
        </w:rPr>
        <w:t xml:space="preserve"> Kammersänger</w:t>
      </w:r>
      <w:r w:rsidRPr="00A3619B">
        <w:rPr>
          <w:szCs w:val="22"/>
          <w:lang w:val="de-CH"/>
        </w:rPr>
        <w:t xml:space="preserve"> verliehen.</w:t>
      </w:r>
    </w:p>
    <w:p w14:paraId="3EA4EDF6" w14:textId="4041B90E" w:rsidR="00A3619B" w:rsidRPr="00A3619B" w:rsidRDefault="00E015B7" w:rsidP="005E2B6B">
      <w:pPr>
        <w:rPr>
          <w:szCs w:val="22"/>
          <w:lang w:val="de-CH"/>
        </w:rPr>
      </w:pPr>
      <w:r>
        <w:rPr>
          <w:szCs w:val="22"/>
          <w:lang w:val="de-CH"/>
        </w:rPr>
        <w:br/>
      </w:r>
      <w:r w:rsidR="006D0082">
        <w:rPr>
          <w:szCs w:val="22"/>
          <w:lang w:val="de-CH"/>
        </w:rPr>
        <w:t>0</w:t>
      </w:r>
      <w:r w:rsidR="004D5C7A">
        <w:rPr>
          <w:szCs w:val="22"/>
          <w:lang w:val="de-CH"/>
        </w:rPr>
        <w:t>7</w:t>
      </w:r>
      <w:r w:rsidR="001C59AF">
        <w:rPr>
          <w:szCs w:val="22"/>
          <w:lang w:val="de-CH"/>
        </w:rPr>
        <w:t>/202</w:t>
      </w:r>
      <w:r w:rsidR="006D0082">
        <w:rPr>
          <w:szCs w:val="22"/>
          <w:lang w:val="de-CH"/>
        </w:rPr>
        <w:t>3</w:t>
      </w:r>
    </w:p>
    <w:sectPr w:rsidR="00A3619B" w:rsidRPr="00A36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B80A" w14:textId="77777777" w:rsidR="00010160" w:rsidRDefault="00010160">
      <w:r>
        <w:separator/>
      </w:r>
    </w:p>
  </w:endnote>
  <w:endnote w:type="continuationSeparator" w:id="0">
    <w:p w14:paraId="0D517B33" w14:textId="77777777" w:rsidR="00010160" w:rsidRDefault="0001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B46B" w14:textId="77777777" w:rsidR="00B36C6C" w:rsidRDefault="00B36C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6BFB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168354FA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2C6E" w14:textId="77777777" w:rsidR="00B36C6C" w:rsidRDefault="00B36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AA52" w14:textId="77777777" w:rsidR="00010160" w:rsidRDefault="00010160">
      <w:r>
        <w:separator/>
      </w:r>
    </w:p>
  </w:footnote>
  <w:footnote w:type="continuationSeparator" w:id="0">
    <w:p w14:paraId="4F5FFAD6" w14:textId="77777777" w:rsidR="00010160" w:rsidRDefault="0001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A08F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D4F0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3E0FB6F3" wp14:editId="7BEA6735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3D6C870" w14:textId="77777777" w:rsidR="00712C8A" w:rsidRDefault="00A3619B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Stephen Gould</w:t>
    </w:r>
  </w:p>
  <w:p w14:paraId="21D454F2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69CB7CBC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BB1E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10160"/>
    <w:rsid w:val="00042189"/>
    <w:rsid w:val="0007172F"/>
    <w:rsid w:val="000B409F"/>
    <w:rsid w:val="000D5C34"/>
    <w:rsid w:val="000F7835"/>
    <w:rsid w:val="001506A6"/>
    <w:rsid w:val="00155E8B"/>
    <w:rsid w:val="00161DBD"/>
    <w:rsid w:val="00164A36"/>
    <w:rsid w:val="001759D1"/>
    <w:rsid w:val="001C59AF"/>
    <w:rsid w:val="001D11F4"/>
    <w:rsid w:val="001E34EC"/>
    <w:rsid w:val="002028CB"/>
    <w:rsid w:val="00223B3C"/>
    <w:rsid w:val="002306EB"/>
    <w:rsid w:val="00251563"/>
    <w:rsid w:val="00283AA1"/>
    <w:rsid w:val="0029266E"/>
    <w:rsid w:val="0030414F"/>
    <w:rsid w:val="0030578A"/>
    <w:rsid w:val="0032358F"/>
    <w:rsid w:val="0032386C"/>
    <w:rsid w:val="00385553"/>
    <w:rsid w:val="003D1B6D"/>
    <w:rsid w:val="003D6BC7"/>
    <w:rsid w:val="003D767A"/>
    <w:rsid w:val="003E049A"/>
    <w:rsid w:val="003E2577"/>
    <w:rsid w:val="003E398B"/>
    <w:rsid w:val="00453F32"/>
    <w:rsid w:val="00473352"/>
    <w:rsid w:val="00477B81"/>
    <w:rsid w:val="004B02B9"/>
    <w:rsid w:val="004D5C7A"/>
    <w:rsid w:val="004D699A"/>
    <w:rsid w:val="004E220F"/>
    <w:rsid w:val="004F3F5C"/>
    <w:rsid w:val="00541324"/>
    <w:rsid w:val="00551481"/>
    <w:rsid w:val="005A3CF7"/>
    <w:rsid w:val="005D7E63"/>
    <w:rsid w:val="005E2B6B"/>
    <w:rsid w:val="005E5770"/>
    <w:rsid w:val="005F27BB"/>
    <w:rsid w:val="005F46C2"/>
    <w:rsid w:val="00602CF0"/>
    <w:rsid w:val="00606714"/>
    <w:rsid w:val="00626160"/>
    <w:rsid w:val="00632C12"/>
    <w:rsid w:val="00657DDD"/>
    <w:rsid w:val="00677A0F"/>
    <w:rsid w:val="00680A16"/>
    <w:rsid w:val="006C6C9D"/>
    <w:rsid w:val="006D0082"/>
    <w:rsid w:val="006D0301"/>
    <w:rsid w:val="00712C8A"/>
    <w:rsid w:val="0073316E"/>
    <w:rsid w:val="00737D1E"/>
    <w:rsid w:val="00782448"/>
    <w:rsid w:val="007A365C"/>
    <w:rsid w:val="007F4CF3"/>
    <w:rsid w:val="008D52F8"/>
    <w:rsid w:val="009236B0"/>
    <w:rsid w:val="00935BAB"/>
    <w:rsid w:val="009B6CB3"/>
    <w:rsid w:val="00A07D44"/>
    <w:rsid w:val="00A117E6"/>
    <w:rsid w:val="00A3619B"/>
    <w:rsid w:val="00A847C5"/>
    <w:rsid w:val="00A84A50"/>
    <w:rsid w:val="00AA2D7B"/>
    <w:rsid w:val="00B36C6C"/>
    <w:rsid w:val="00B622BB"/>
    <w:rsid w:val="00B64E8C"/>
    <w:rsid w:val="00B76E6A"/>
    <w:rsid w:val="00BB3B7A"/>
    <w:rsid w:val="00BD3F73"/>
    <w:rsid w:val="00C1221C"/>
    <w:rsid w:val="00C220C4"/>
    <w:rsid w:val="00C42AB3"/>
    <w:rsid w:val="00C46783"/>
    <w:rsid w:val="00C72B3D"/>
    <w:rsid w:val="00C875AE"/>
    <w:rsid w:val="00CB1F22"/>
    <w:rsid w:val="00CE30F8"/>
    <w:rsid w:val="00D566A6"/>
    <w:rsid w:val="00D63E76"/>
    <w:rsid w:val="00D95D2E"/>
    <w:rsid w:val="00DB112F"/>
    <w:rsid w:val="00DC3D5B"/>
    <w:rsid w:val="00E015B7"/>
    <w:rsid w:val="00E07EDA"/>
    <w:rsid w:val="00E12FAB"/>
    <w:rsid w:val="00EB1132"/>
    <w:rsid w:val="00EC2C3D"/>
    <w:rsid w:val="00EC59F8"/>
    <w:rsid w:val="00EE7B00"/>
    <w:rsid w:val="00F734EC"/>
    <w:rsid w:val="00F94787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C9B66A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2B6B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42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Theme="minorHAnsi" w:cstheme="minorBidi"/>
      <w:color w:val="000000" w:themeColor="text1"/>
      <w:szCs w:val="28"/>
      <w:bdr w:val="none" w:sz="0" w:space="0" w:color="auto"/>
      <w:lang w:eastAsia="ja-JP" w:bidi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42AB3"/>
    <w:rPr>
      <w:rFonts w:ascii="Arial" w:eastAsiaTheme="minorHAnsi" w:hAnsi="Arial" w:cstheme="minorBidi"/>
      <w:color w:val="000000" w:themeColor="text1"/>
      <w:sz w:val="22"/>
      <w:szCs w:val="28"/>
      <w:bdr w:val="none" w:sz="0" w:space="0" w:color="auto"/>
      <w:lang w:val="de-DE" w:eastAsia="ja-JP" w:bidi="de-DE"/>
    </w:rPr>
  </w:style>
  <w:style w:type="paragraph" w:styleId="StandardWeb">
    <w:name w:val="Normal (Web)"/>
    <w:basedOn w:val="Standard"/>
    <w:unhideWhenUsed/>
    <w:rsid w:val="00A3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StandardEnglish">
    <w:name w:val="Standard English"/>
    <w:basedOn w:val="Standard"/>
    <w:qFormat/>
    <w:rsid w:val="000717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40</cp:revision>
  <dcterms:created xsi:type="dcterms:W3CDTF">2018-10-31T16:35:00Z</dcterms:created>
  <dcterms:modified xsi:type="dcterms:W3CDTF">2023-07-10T15:18:00Z</dcterms:modified>
</cp:coreProperties>
</file>